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8336" w14:textId="77777777" w:rsidR="00216CD8" w:rsidRPr="00216CD8" w:rsidRDefault="00216CD8" w:rsidP="00216CD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16CD8">
        <w:rPr>
          <w:rFonts w:ascii="Arial" w:hAnsi="Arial" w:cs="Arial"/>
          <w:b/>
          <w:bCs/>
          <w:sz w:val="24"/>
          <w:szCs w:val="24"/>
        </w:rPr>
        <w:t>PRONOSTICA ENTRE 13 Y 17 FENÓMENOS HIDROMETEOROLÓGICOS PARA EL OCÉANO ATLÁNTICO</w:t>
      </w:r>
    </w:p>
    <w:p w14:paraId="6EB76610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CD35D8A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b/>
          <w:bCs/>
          <w:sz w:val="24"/>
          <w:szCs w:val="24"/>
        </w:rPr>
        <w:t>Cancún, Q. R., a 08 de mayo de 2025.-</w:t>
      </w:r>
      <w:r w:rsidRPr="00216CD8">
        <w:rPr>
          <w:rFonts w:ascii="Arial" w:hAnsi="Arial" w:cs="Arial"/>
          <w:sz w:val="24"/>
          <w:szCs w:val="24"/>
        </w:rPr>
        <w:t xml:space="preserve"> Ante el inicio de la “Temporada de Lluvias y Ciclones Tropicales 2025”, el Ayuntamiento de Benito Juárez, a través de la Dirección General de Protección Civil, dio a conocer que se tendrán entre 13 a 17 fenómenos hidrometeorológicos para el Atlántico y ante ello, la ciudadanía debe aplicar el protocolo antes, durante y después de una eventualidad, para salvaguardar su integridad física.</w:t>
      </w:r>
    </w:p>
    <w:p w14:paraId="23B83600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FC60AF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 xml:space="preserve">Durante la Reunión Nacional de Protección Civil, celebrada en Mérida, Yucatán, donde participa personal de la dependencia municipal y su titular, Antonio </w:t>
      </w:r>
      <w:proofErr w:type="spellStart"/>
      <w:r w:rsidRPr="00216CD8">
        <w:rPr>
          <w:rFonts w:ascii="Arial" w:hAnsi="Arial" w:cs="Arial"/>
          <w:sz w:val="24"/>
          <w:szCs w:val="24"/>
        </w:rPr>
        <w:t>Riveroll</w:t>
      </w:r>
      <w:proofErr w:type="spellEnd"/>
      <w:r w:rsidRPr="00216C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CD8">
        <w:rPr>
          <w:rFonts w:ascii="Arial" w:hAnsi="Arial" w:cs="Arial"/>
          <w:sz w:val="24"/>
          <w:szCs w:val="24"/>
        </w:rPr>
        <w:t>Ribbon</w:t>
      </w:r>
      <w:proofErr w:type="spellEnd"/>
      <w:r w:rsidRPr="00216CD8">
        <w:rPr>
          <w:rFonts w:ascii="Arial" w:hAnsi="Arial" w:cs="Arial"/>
          <w:sz w:val="24"/>
          <w:szCs w:val="24"/>
        </w:rPr>
        <w:t>, se dio a conocer que el día 01 de junio inicia oficialmente la temporada de huracanes para el Océano Atlántico, misma que concluye el 30 de noviembre.</w:t>
      </w:r>
    </w:p>
    <w:p w14:paraId="29160CBE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F38F8B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 xml:space="preserve">Conforme al pronóstico oficial se prevé que para el Atlántico se registren de 7 a 9 tormentas tropicales; 3 a 4 huracanes categoría 1 </w:t>
      </w:r>
      <w:proofErr w:type="spellStart"/>
      <w:r w:rsidRPr="00216CD8">
        <w:rPr>
          <w:rFonts w:ascii="Arial" w:hAnsi="Arial" w:cs="Arial"/>
          <w:sz w:val="24"/>
          <w:szCs w:val="24"/>
        </w:rPr>
        <w:t>ó</w:t>
      </w:r>
      <w:proofErr w:type="spellEnd"/>
      <w:r w:rsidRPr="00216CD8">
        <w:rPr>
          <w:rFonts w:ascii="Arial" w:hAnsi="Arial" w:cs="Arial"/>
          <w:sz w:val="24"/>
          <w:szCs w:val="24"/>
        </w:rPr>
        <w:t xml:space="preserve"> 2 y de 3 a 4 categoría 3, 4 </w:t>
      </w:r>
      <w:proofErr w:type="spellStart"/>
      <w:r w:rsidRPr="00216CD8">
        <w:rPr>
          <w:rFonts w:ascii="Arial" w:hAnsi="Arial" w:cs="Arial"/>
          <w:sz w:val="24"/>
          <w:szCs w:val="24"/>
        </w:rPr>
        <w:t>ó</w:t>
      </w:r>
      <w:proofErr w:type="spellEnd"/>
      <w:r w:rsidRPr="00216CD8">
        <w:rPr>
          <w:rFonts w:ascii="Arial" w:hAnsi="Arial" w:cs="Arial"/>
          <w:sz w:val="24"/>
          <w:szCs w:val="24"/>
        </w:rPr>
        <w:t xml:space="preserve"> 5; siendo un total aproximado entre 13 a 17 fenómenos hidrometeorológicos.</w:t>
      </w:r>
    </w:p>
    <w:p w14:paraId="13D69C05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2C1B19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 xml:space="preserve">Mientras que, para el Océano Pacífico se pronostican de 8 a 9 tormentas tropicales; 4 a 5 huracanes categoría 1 </w:t>
      </w:r>
      <w:proofErr w:type="spellStart"/>
      <w:r w:rsidRPr="00216CD8">
        <w:rPr>
          <w:rFonts w:ascii="Arial" w:hAnsi="Arial" w:cs="Arial"/>
          <w:sz w:val="24"/>
          <w:szCs w:val="24"/>
        </w:rPr>
        <w:t>ó</w:t>
      </w:r>
      <w:proofErr w:type="spellEnd"/>
      <w:r w:rsidRPr="00216CD8">
        <w:rPr>
          <w:rFonts w:ascii="Arial" w:hAnsi="Arial" w:cs="Arial"/>
          <w:sz w:val="24"/>
          <w:szCs w:val="24"/>
        </w:rPr>
        <w:t xml:space="preserve"> 2 y de 4 a 6 en categoría 3, 4 o 5, teniendo un total aproximado entre 16 a 20 eventualidades.</w:t>
      </w:r>
    </w:p>
    <w:p w14:paraId="56185929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2153E1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 xml:space="preserve">Como medida de prevención y seguridad, la ciudadanía debe contar una mochila de emergencia que debe contener: botiquín de primeros auxilios, duplicado de llaves de casa y auto, radio y pilas, mantas y ropa de abrigo, linterna y silbato, útiles de aseo, cuchilla multiusos, alimentos no perecederos, agua embotellada y documentos personales copia y en USB. </w:t>
      </w:r>
    </w:p>
    <w:p w14:paraId="3C9BE4B6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A1EB44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Dicha mochila debe colocarse en un lugar de fácil acceso, para que pueda ser tomada al momento de un fenómeno hidrometeorológico, por lo que se pide a la ciudadanía mantenerse informada a través de medios oficiales.</w:t>
      </w:r>
    </w:p>
    <w:p w14:paraId="35CB5EAE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FBFDEB" w14:textId="74E19E4E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p w14:paraId="3F490FDD" w14:textId="77777777" w:rsidR="00216CD8" w:rsidRPr="00216CD8" w:rsidRDefault="00216CD8" w:rsidP="00216CD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F275E9" w14:textId="77777777" w:rsidR="00216CD8" w:rsidRPr="00216CD8" w:rsidRDefault="00216CD8" w:rsidP="00216CD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16CD8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20A269AD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1BCD968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216CD8">
        <w:rPr>
          <w:rFonts w:ascii="Arial" w:hAnsi="Arial" w:cs="Arial"/>
          <w:b/>
          <w:bCs/>
          <w:sz w:val="24"/>
          <w:szCs w:val="24"/>
        </w:rPr>
        <w:t>NOMBRES DE LOS FENÓMENOS HIDROMETEOROLÓGICOS EN EL OCÉANO ATLÁNTICO:</w:t>
      </w:r>
    </w:p>
    <w:p w14:paraId="14ED302B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5D9CBD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216CD8">
        <w:rPr>
          <w:rFonts w:ascii="Arial" w:hAnsi="Arial" w:cs="Arial"/>
          <w:sz w:val="24"/>
          <w:szCs w:val="24"/>
          <w:lang w:val="en-US"/>
        </w:rPr>
        <w:t>•</w:t>
      </w:r>
      <w:r w:rsidRPr="00216CD8">
        <w:rPr>
          <w:rFonts w:ascii="Arial" w:hAnsi="Arial" w:cs="Arial"/>
          <w:sz w:val="24"/>
          <w:szCs w:val="24"/>
          <w:lang w:val="en-US"/>
        </w:rPr>
        <w:tab/>
        <w:t>Andrea</w:t>
      </w:r>
    </w:p>
    <w:p w14:paraId="2452E491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216CD8">
        <w:rPr>
          <w:rFonts w:ascii="Arial" w:hAnsi="Arial" w:cs="Arial"/>
          <w:sz w:val="24"/>
          <w:szCs w:val="24"/>
          <w:lang w:val="en-US"/>
        </w:rPr>
        <w:t>•</w:t>
      </w:r>
      <w:r w:rsidRPr="00216CD8">
        <w:rPr>
          <w:rFonts w:ascii="Arial" w:hAnsi="Arial" w:cs="Arial"/>
          <w:sz w:val="24"/>
          <w:szCs w:val="24"/>
          <w:lang w:val="en-US"/>
        </w:rPr>
        <w:tab/>
        <w:t>Barry</w:t>
      </w:r>
    </w:p>
    <w:p w14:paraId="1B17435A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216CD8">
        <w:rPr>
          <w:rFonts w:ascii="Arial" w:hAnsi="Arial" w:cs="Arial"/>
          <w:sz w:val="24"/>
          <w:szCs w:val="24"/>
          <w:lang w:val="en-US"/>
        </w:rPr>
        <w:lastRenderedPageBreak/>
        <w:t>•</w:t>
      </w:r>
      <w:r w:rsidRPr="00216CD8">
        <w:rPr>
          <w:rFonts w:ascii="Arial" w:hAnsi="Arial" w:cs="Arial"/>
          <w:sz w:val="24"/>
          <w:szCs w:val="24"/>
          <w:lang w:val="en-US"/>
        </w:rPr>
        <w:tab/>
        <w:t>Chantal</w:t>
      </w:r>
    </w:p>
    <w:p w14:paraId="667FA1C5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216CD8">
        <w:rPr>
          <w:rFonts w:ascii="Arial" w:hAnsi="Arial" w:cs="Arial"/>
          <w:sz w:val="24"/>
          <w:szCs w:val="24"/>
          <w:lang w:val="en-US"/>
        </w:rPr>
        <w:t>•</w:t>
      </w:r>
      <w:r w:rsidRPr="00216CD8">
        <w:rPr>
          <w:rFonts w:ascii="Arial" w:hAnsi="Arial" w:cs="Arial"/>
          <w:sz w:val="24"/>
          <w:szCs w:val="24"/>
          <w:lang w:val="en-US"/>
        </w:rPr>
        <w:tab/>
        <w:t>Dexter</w:t>
      </w:r>
    </w:p>
    <w:p w14:paraId="496DE6BF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216CD8">
        <w:rPr>
          <w:rFonts w:ascii="Arial" w:hAnsi="Arial" w:cs="Arial"/>
          <w:sz w:val="24"/>
          <w:szCs w:val="24"/>
          <w:lang w:val="en-US"/>
        </w:rPr>
        <w:t>•</w:t>
      </w:r>
      <w:r w:rsidRPr="00216CD8">
        <w:rPr>
          <w:rFonts w:ascii="Arial" w:hAnsi="Arial" w:cs="Arial"/>
          <w:sz w:val="24"/>
          <w:szCs w:val="24"/>
          <w:lang w:val="en-US"/>
        </w:rPr>
        <w:tab/>
        <w:t>Erin</w:t>
      </w:r>
    </w:p>
    <w:p w14:paraId="183A019C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216CD8">
        <w:rPr>
          <w:rFonts w:ascii="Arial" w:hAnsi="Arial" w:cs="Arial"/>
          <w:sz w:val="24"/>
          <w:szCs w:val="24"/>
          <w:lang w:val="en-US"/>
        </w:rPr>
        <w:t>•</w:t>
      </w:r>
      <w:r w:rsidRPr="00216CD8">
        <w:rPr>
          <w:rFonts w:ascii="Arial" w:hAnsi="Arial" w:cs="Arial"/>
          <w:sz w:val="24"/>
          <w:szCs w:val="24"/>
          <w:lang w:val="en-US"/>
        </w:rPr>
        <w:tab/>
        <w:t>Fernand</w:t>
      </w:r>
    </w:p>
    <w:p w14:paraId="045C7772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216CD8">
        <w:rPr>
          <w:rFonts w:ascii="Arial" w:hAnsi="Arial" w:cs="Arial"/>
          <w:sz w:val="24"/>
          <w:szCs w:val="24"/>
          <w:lang w:val="en-US"/>
        </w:rPr>
        <w:t>•</w:t>
      </w:r>
      <w:r w:rsidRPr="00216CD8">
        <w:rPr>
          <w:rFonts w:ascii="Arial" w:hAnsi="Arial" w:cs="Arial"/>
          <w:sz w:val="24"/>
          <w:szCs w:val="24"/>
          <w:lang w:val="en-US"/>
        </w:rPr>
        <w:tab/>
        <w:t>Gabrielle</w:t>
      </w:r>
    </w:p>
    <w:p w14:paraId="6A5F059C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Humberto</w:t>
      </w:r>
    </w:p>
    <w:p w14:paraId="5A673086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Imelda</w:t>
      </w:r>
    </w:p>
    <w:p w14:paraId="43BD7260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Jerry</w:t>
      </w:r>
    </w:p>
    <w:p w14:paraId="55D9A3B7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Karen</w:t>
      </w:r>
    </w:p>
    <w:p w14:paraId="196A9154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Lorenzo</w:t>
      </w:r>
    </w:p>
    <w:p w14:paraId="285601EF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Melissa</w:t>
      </w:r>
    </w:p>
    <w:p w14:paraId="0694ED11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</w:r>
      <w:proofErr w:type="spellStart"/>
      <w:r w:rsidRPr="00216CD8">
        <w:rPr>
          <w:rFonts w:ascii="Arial" w:hAnsi="Arial" w:cs="Arial"/>
          <w:sz w:val="24"/>
          <w:szCs w:val="24"/>
        </w:rPr>
        <w:t>Nestor</w:t>
      </w:r>
      <w:proofErr w:type="spellEnd"/>
    </w:p>
    <w:p w14:paraId="1A576458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Olga</w:t>
      </w:r>
    </w:p>
    <w:p w14:paraId="25B13C2B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Pablo</w:t>
      </w:r>
    </w:p>
    <w:p w14:paraId="1B5DF9F1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</w:r>
      <w:proofErr w:type="spellStart"/>
      <w:r w:rsidRPr="00216CD8">
        <w:rPr>
          <w:rFonts w:ascii="Arial" w:hAnsi="Arial" w:cs="Arial"/>
          <w:sz w:val="24"/>
          <w:szCs w:val="24"/>
        </w:rPr>
        <w:t>Rebekah</w:t>
      </w:r>
      <w:proofErr w:type="spellEnd"/>
    </w:p>
    <w:p w14:paraId="7F4A4E7D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 xml:space="preserve">Sebastien </w:t>
      </w:r>
    </w:p>
    <w:p w14:paraId="60B21D99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Tanya</w:t>
      </w:r>
    </w:p>
    <w:p w14:paraId="2C267117" w14:textId="77777777" w:rsidR="00216CD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Van</w:t>
      </w:r>
    </w:p>
    <w:p w14:paraId="0D8D0040" w14:textId="59CD5885" w:rsidR="00B34BC8" w:rsidRPr="00216CD8" w:rsidRDefault="00216CD8" w:rsidP="00216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16CD8">
        <w:rPr>
          <w:rFonts w:ascii="Arial" w:hAnsi="Arial" w:cs="Arial"/>
          <w:sz w:val="24"/>
          <w:szCs w:val="24"/>
        </w:rPr>
        <w:t>•</w:t>
      </w:r>
      <w:r w:rsidRPr="00216CD8">
        <w:rPr>
          <w:rFonts w:ascii="Arial" w:hAnsi="Arial" w:cs="Arial"/>
          <w:sz w:val="24"/>
          <w:szCs w:val="24"/>
        </w:rPr>
        <w:tab/>
        <w:t>Wendy</w:t>
      </w:r>
    </w:p>
    <w:sectPr w:rsidR="00B34BC8" w:rsidRPr="00216CD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C1CD" w14:textId="77777777" w:rsidR="00DC090F" w:rsidRDefault="00DC090F" w:rsidP="0092028B">
      <w:r>
        <w:separator/>
      </w:r>
    </w:p>
  </w:endnote>
  <w:endnote w:type="continuationSeparator" w:id="0">
    <w:p w14:paraId="32ED5B79" w14:textId="77777777" w:rsidR="00DC090F" w:rsidRDefault="00DC090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9DF" w14:textId="77777777" w:rsidR="00DC090F" w:rsidRDefault="00DC090F" w:rsidP="0092028B">
      <w:r>
        <w:separator/>
      </w:r>
    </w:p>
  </w:footnote>
  <w:footnote w:type="continuationSeparator" w:id="0">
    <w:p w14:paraId="6F373EC3" w14:textId="77777777" w:rsidR="00DC090F" w:rsidRDefault="00DC090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2DDD46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16CD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2DDD46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16CD8">
                      <w:rPr>
                        <w:rFonts w:cstheme="minorHAnsi"/>
                        <w:b/>
                        <w:bCs/>
                        <w:lang w:val="es-ES"/>
                      </w:rPr>
                      <w:t>846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6CD8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090F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2025-05-08T15:34:00Z</dcterms:created>
  <dcterms:modified xsi:type="dcterms:W3CDTF">2025-05-08T15:34:00Z</dcterms:modified>
</cp:coreProperties>
</file>